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2B" w:rsidRPr="00520A27" w:rsidRDefault="00217F2B" w:rsidP="00217F2B">
      <w:pPr>
        <w:tabs>
          <w:tab w:val="left" w:pos="1080"/>
        </w:tabs>
        <w:spacing w:before="120" w:after="120" w:line="24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 xml:space="preserve">Thủ tục </w:t>
      </w:r>
      <w:r w:rsidRPr="00520A27">
        <w:rPr>
          <w:rFonts w:ascii="Times New Roman" w:hAnsi="Times New Roman" w:cs="Times New Roman"/>
          <w:b/>
          <w:bCs/>
          <w:sz w:val="28"/>
          <w:szCs w:val="28"/>
        </w:rPr>
        <w:t>Thu hồi chứng chỉ nghiệp vụ chuyên môn về đấu thầu</w:t>
      </w:r>
    </w:p>
    <w:p w:rsidR="00217F2B" w:rsidRPr="00520A27" w:rsidRDefault="00217F2B" w:rsidP="00217F2B">
      <w:pPr>
        <w:pStyle w:val="ListParagraph"/>
        <w:numPr>
          <w:ilvl w:val="0"/>
          <w:numId w:val="1"/>
        </w:numPr>
        <w:tabs>
          <w:tab w:val="left" w:pos="990"/>
          <w:tab w:val="left" w:pos="108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Trình tự thực hiện</w:t>
      </w:r>
      <w:bookmarkStart w:id="0" w:name="_GoBack"/>
      <w:bookmarkEnd w:id="0"/>
    </w:p>
    <w:p w:rsidR="00217F2B" w:rsidRPr="00520A27" w:rsidRDefault="00217F2B" w:rsidP="00217F2B">
      <w:pPr>
        <w:pStyle w:val="ListParagraph"/>
        <w:numPr>
          <w:ilvl w:val="0"/>
          <w:numId w:val="2"/>
        </w:numPr>
        <w:tabs>
          <w:tab w:val="left" w:pos="108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Trong thời hạn 05 ngày làm việc kể từ ngày ban hành quyết định thu hồi chứng chỉ nghiệp vụ chuyên môn về đấu thầu, cơ quan cấp chứng chỉ gửi quyết định thu hồi chứng chỉ cho cá nhân bị thu hồi và đăng tải thông tin trên Hệ thống, Hệ thống mạng đấu thầu quốc gia;</w:t>
      </w:r>
    </w:p>
    <w:p w:rsidR="00217F2B" w:rsidRPr="00520A27" w:rsidRDefault="00217F2B" w:rsidP="00217F2B">
      <w:pPr>
        <w:pStyle w:val="ListParagraph"/>
        <w:numPr>
          <w:ilvl w:val="0"/>
          <w:numId w:val="2"/>
        </w:numPr>
        <w:tabs>
          <w:tab w:val="left" w:pos="108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 xml:space="preserve"> Cá nhân bị thu hồi chứng chỉ nghiệp vụ chuyên môn về đấu thầu phải nộp lại bản gốc chứng chỉ cho cơ quan ta quyết định thu hồi chứng chỉ trong thời hạn 05 ngày làm việc kể từ ngày nhận được quyết định thu hồi. Trường hợp cá nhân bị thu hồi chứng chỉ nghiệp vụ chuyên môn về đấu thầu không nộp lại chứng chỉ, cơ quan cấp chứng chỉ quyết định hủy chứng chỉ nghiệp vụ chuyên môn về đấu thầu, gửi thông báo cho cá nhân bị hủy chứng chỉ và đăng tải thông tin trên Hệ thống, Hệ thống mạng đấu thầu quốc gia, đồng thời gửi thông tin đến Cục Quản lý đấu thầu, Bộ Kế hoạch và Đầu tư để tổng hợp, theo dõi; </w:t>
      </w:r>
    </w:p>
    <w:p w:rsidR="00217F2B" w:rsidRPr="00520A27" w:rsidRDefault="00217F2B" w:rsidP="00217F2B">
      <w:pPr>
        <w:pStyle w:val="ListParagraph"/>
        <w:numPr>
          <w:ilvl w:val="0"/>
          <w:numId w:val="2"/>
        </w:numPr>
        <w:tabs>
          <w:tab w:val="left" w:pos="108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Thông tin cá  nhân bị thu hồi chứng chỉ nghiệp vụ chuyên môn về đấu thầu trong cơ sở dữ liệu trên Hệ thống thể hiện trạng tháu “Chứng chỉ bị thu hồi”.</w:t>
      </w:r>
    </w:p>
    <w:p w:rsidR="00217F2B" w:rsidRPr="00520A27" w:rsidRDefault="00217F2B" w:rsidP="00217F2B">
      <w:pPr>
        <w:pStyle w:val="ListParagraph"/>
        <w:tabs>
          <w:tab w:val="left" w:pos="108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2. Cách thức thực hiện:</w:t>
      </w:r>
      <w:r w:rsidRPr="00520A27">
        <w:rPr>
          <w:rFonts w:ascii="Times New Roman" w:hAnsi="Times New Roman" w:cs="Times New Roman"/>
          <w:sz w:val="28"/>
          <w:szCs w:val="28"/>
        </w:rPr>
        <w:t xml:space="preserve"> Trực tiếp tại Sở Kế hoạch và Đầu tư (số 02, đường Nguyễn Văn Trị, phường Thanh Bình, thành phố Biên Hòa, tỉnh Đồng Nai) hoặc qua đường bưu điện.</w:t>
      </w:r>
    </w:p>
    <w:p w:rsidR="00217F2B" w:rsidRPr="00520A27" w:rsidRDefault="00217F2B" w:rsidP="00217F2B">
      <w:pPr>
        <w:pStyle w:val="ListParagraph"/>
        <w:tabs>
          <w:tab w:val="left" w:pos="1080"/>
          <w:tab w:val="left" w:pos="135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 xml:space="preserve">3. Thành phần hồ sơ: </w:t>
      </w:r>
    </w:p>
    <w:p w:rsidR="00217F2B" w:rsidRPr="00520A27" w:rsidRDefault="00217F2B" w:rsidP="00217F2B">
      <w:pPr>
        <w:pStyle w:val="ListParagraph"/>
        <w:tabs>
          <w:tab w:val="left" w:pos="108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Bản gốc chứng chỉ nghiệp vụ chuyên môn về đấu thầu.</w:t>
      </w:r>
    </w:p>
    <w:p w:rsidR="00217F2B" w:rsidRPr="00520A27" w:rsidRDefault="00217F2B" w:rsidP="00217F2B">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4</w:t>
      </w:r>
      <w:r w:rsidRPr="00520A27">
        <w:rPr>
          <w:rFonts w:ascii="Times New Roman" w:hAnsi="Times New Roman" w:cs="Times New Roman"/>
          <w:sz w:val="28"/>
          <w:szCs w:val="28"/>
        </w:rPr>
        <w:t xml:space="preserve">. </w:t>
      </w:r>
      <w:r w:rsidRPr="00520A27">
        <w:rPr>
          <w:rFonts w:ascii="Times New Roman" w:hAnsi="Times New Roman" w:cs="Times New Roman"/>
          <w:b/>
          <w:bCs/>
          <w:sz w:val="28"/>
          <w:szCs w:val="28"/>
        </w:rPr>
        <w:t>Số bộ hồ sơ</w:t>
      </w:r>
      <w:r w:rsidRPr="00520A27">
        <w:rPr>
          <w:rFonts w:ascii="Times New Roman" w:hAnsi="Times New Roman" w:cs="Times New Roman"/>
          <w:sz w:val="28"/>
          <w:szCs w:val="28"/>
        </w:rPr>
        <w:t>: 01 bộ.</w:t>
      </w:r>
    </w:p>
    <w:p w:rsidR="00217F2B" w:rsidRPr="00520A27" w:rsidRDefault="00217F2B" w:rsidP="00217F2B">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5</w:t>
      </w:r>
      <w:r w:rsidRPr="00520A27">
        <w:rPr>
          <w:rFonts w:ascii="Times New Roman" w:hAnsi="Times New Roman" w:cs="Times New Roman"/>
          <w:sz w:val="28"/>
          <w:szCs w:val="28"/>
        </w:rPr>
        <w:t xml:space="preserve">. </w:t>
      </w:r>
      <w:r w:rsidRPr="00520A27">
        <w:rPr>
          <w:rFonts w:ascii="Times New Roman" w:hAnsi="Times New Roman" w:cs="Times New Roman"/>
          <w:b/>
          <w:bCs/>
          <w:sz w:val="28"/>
          <w:szCs w:val="28"/>
        </w:rPr>
        <w:t>Thời hạn giải quyết</w:t>
      </w:r>
    </w:p>
    <w:p w:rsidR="00217F2B" w:rsidRPr="00520A27" w:rsidRDefault="00217F2B" w:rsidP="00217F2B">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sz w:val="28"/>
          <w:szCs w:val="28"/>
        </w:rPr>
        <w:t>Cá nhân bị thu hồi chứng chỉ nghiệp vụ chuyên môn về đấu thầu phải nộp lại bản gốc chứng chỉ cho cơ quan ta quyết định thu hồi chứng chỉ trong thời hạn 05 ngày làm việc kể từ ngày nhận được quyết định thu hồi.</w:t>
      </w:r>
    </w:p>
    <w:p w:rsidR="00217F2B" w:rsidRPr="00520A27" w:rsidRDefault="00217F2B" w:rsidP="00217F2B">
      <w:pPr>
        <w:pStyle w:val="ListParagraph"/>
        <w:tabs>
          <w:tab w:val="left" w:pos="90"/>
          <w:tab w:val="left" w:pos="1350"/>
        </w:tabs>
        <w:spacing w:before="120" w:after="120" w:line="240" w:lineRule="auto"/>
        <w:ind w:left="0"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6. Cơ quan thực hiện:</w:t>
      </w:r>
    </w:p>
    <w:p w:rsidR="00217F2B" w:rsidRPr="002D26B5" w:rsidRDefault="00217F2B" w:rsidP="00217F2B">
      <w:pPr>
        <w:pStyle w:val="ListParagraph"/>
        <w:tabs>
          <w:tab w:val="left" w:pos="90"/>
          <w:tab w:val="left" w:pos="1350"/>
        </w:tabs>
        <w:spacing w:before="120" w:after="120" w:line="240" w:lineRule="auto"/>
        <w:ind w:left="0" w:firstLine="720"/>
        <w:jc w:val="both"/>
        <w:rPr>
          <w:rFonts w:ascii="Times New Roman" w:hAnsi="Times New Roman" w:cs="Times New Roman"/>
          <w:bCs/>
          <w:sz w:val="28"/>
          <w:szCs w:val="28"/>
        </w:rPr>
      </w:pPr>
      <w:r w:rsidRPr="00F72299">
        <w:rPr>
          <w:rFonts w:ascii="Times New Roman" w:hAnsi="Times New Roman" w:cs="Times New Roman"/>
          <w:bCs/>
          <w:sz w:val="28"/>
          <w:szCs w:val="28"/>
        </w:rPr>
        <w:t xml:space="preserve">- Cơ quan có thẩm quyền quyết định: </w:t>
      </w:r>
      <w:r>
        <w:rPr>
          <w:rFonts w:ascii="Times New Roman" w:hAnsi="Times New Roman" w:cs="Times New Roman"/>
          <w:bCs/>
          <w:sz w:val="28"/>
          <w:szCs w:val="28"/>
        </w:rPr>
        <w:t>Sở Kế hoạch và Đầu tư.</w:t>
      </w:r>
    </w:p>
    <w:p w:rsidR="00217F2B" w:rsidRPr="00352A0A" w:rsidRDefault="00217F2B" w:rsidP="00217F2B">
      <w:pPr>
        <w:pStyle w:val="ListParagraph"/>
        <w:tabs>
          <w:tab w:val="left" w:pos="90"/>
          <w:tab w:val="left" w:pos="1350"/>
        </w:tabs>
        <w:spacing w:before="120" w:after="120" w:line="240" w:lineRule="auto"/>
        <w:ind w:left="0" w:firstLine="720"/>
        <w:jc w:val="both"/>
        <w:rPr>
          <w:rFonts w:ascii="Times New Roman" w:hAnsi="Times New Roman" w:cs="Times New Roman"/>
          <w:bCs/>
          <w:sz w:val="28"/>
          <w:szCs w:val="28"/>
        </w:rPr>
      </w:pPr>
      <w:r w:rsidRPr="00F72299">
        <w:rPr>
          <w:rFonts w:ascii="Times New Roman" w:hAnsi="Times New Roman" w:cs="Times New Roman"/>
          <w:bCs/>
          <w:sz w:val="28"/>
          <w:szCs w:val="28"/>
        </w:rPr>
        <w:t xml:space="preserve">- Cơ quan thực hiện TTHC: </w:t>
      </w:r>
      <w:r>
        <w:rPr>
          <w:rFonts w:ascii="Times New Roman" w:hAnsi="Times New Roman" w:cs="Times New Roman"/>
          <w:bCs/>
          <w:sz w:val="28"/>
          <w:szCs w:val="28"/>
        </w:rPr>
        <w:t>Sở Kế hoạch và Đầu tư</w:t>
      </w:r>
      <w:r w:rsidRPr="00520A27">
        <w:rPr>
          <w:rFonts w:ascii="Times New Roman" w:hAnsi="Times New Roman" w:cs="Times New Roman"/>
          <w:sz w:val="28"/>
          <w:szCs w:val="28"/>
        </w:rPr>
        <w:t>.</w:t>
      </w:r>
    </w:p>
    <w:p w:rsidR="00217F2B" w:rsidRPr="00520A27" w:rsidRDefault="00217F2B" w:rsidP="00217F2B">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7. Đối tượng thực hiện thủ tục hành chính:</w:t>
      </w:r>
      <w:r w:rsidRPr="00520A27">
        <w:rPr>
          <w:rFonts w:ascii="Times New Roman" w:hAnsi="Times New Roman" w:cs="Times New Roman"/>
          <w:sz w:val="28"/>
          <w:szCs w:val="28"/>
        </w:rPr>
        <w:t xml:space="preserve"> cá nhân</w:t>
      </w:r>
    </w:p>
    <w:p w:rsidR="00217F2B" w:rsidRPr="00520A27" w:rsidRDefault="00217F2B" w:rsidP="00217F2B">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8. Kết quả thực hiện thủ tục hành chính:</w:t>
      </w:r>
      <w:r w:rsidRPr="00520A27">
        <w:rPr>
          <w:rFonts w:ascii="Times New Roman" w:hAnsi="Times New Roman" w:cs="Times New Roman"/>
          <w:sz w:val="28"/>
          <w:szCs w:val="28"/>
        </w:rPr>
        <w:t xml:space="preserve"> thu hồi chứng chỉ nghiệp vụ chuyên môn về đấu thầu.</w:t>
      </w:r>
    </w:p>
    <w:p w:rsidR="00217F2B" w:rsidRPr="00520A27" w:rsidRDefault="00217F2B" w:rsidP="00217F2B">
      <w:pPr>
        <w:tabs>
          <w:tab w:val="left" w:pos="90"/>
          <w:tab w:val="left" w:pos="1350"/>
        </w:tabs>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 xml:space="preserve">9. Lệ phí (nếu có và văn bản quy định về phí, lệ phí): </w:t>
      </w:r>
      <w:r w:rsidRPr="00520A27">
        <w:rPr>
          <w:rFonts w:ascii="Times New Roman" w:hAnsi="Times New Roman" w:cs="Times New Roman"/>
          <w:sz w:val="28"/>
          <w:szCs w:val="28"/>
        </w:rPr>
        <w:t>không.</w:t>
      </w:r>
    </w:p>
    <w:p w:rsidR="00217F2B" w:rsidRPr="00520A27" w:rsidRDefault="00217F2B" w:rsidP="00217F2B">
      <w:pPr>
        <w:pStyle w:val="ListParagraph"/>
        <w:tabs>
          <w:tab w:val="left" w:pos="90"/>
          <w:tab w:val="left" w:pos="1350"/>
        </w:tabs>
        <w:spacing w:before="120" w:after="120" w:line="240" w:lineRule="auto"/>
        <w:ind w:left="0" w:firstLine="720"/>
        <w:jc w:val="both"/>
        <w:rPr>
          <w:rFonts w:ascii="Times New Roman" w:hAnsi="Times New Roman" w:cs="Times New Roman"/>
          <w:sz w:val="28"/>
          <w:szCs w:val="28"/>
        </w:rPr>
      </w:pPr>
      <w:r w:rsidRPr="00520A27">
        <w:rPr>
          <w:rFonts w:ascii="Times New Roman" w:hAnsi="Times New Roman" w:cs="Times New Roman"/>
          <w:b/>
          <w:bCs/>
          <w:sz w:val="28"/>
          <w:szCs w:val="28"/>
        </w:rPr>
        <w:t xml:space="preserve">10. Tên mẫu đơn, mẫu tờ khai (đính kèm): </w:t>
      </w:r>
      <w:r w:rsidRPr="00520A27">
        <w:rPr>
          <w:rFonts w:ascii="Times New Roman" w:hAnsi="Times New Roman" w:cs="Times New Roman"/>
          <w:sz w:val="28"/>
          <w:szCs w:val="28"/>
        </w:rPr>
        <w:t>không.</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b/>
          <w:bCs/>
          <w:sz w:val="28"/>
          <w:szCs w:val="28"/>
        </w:rPr>
        <w:t>11. Yêu cầu, điều kiện thực hiện thủ tục (nếu có):</w:t>
      </w:r>
      <w:r w:rsidRPr="00520A27">
        <w:rPr>
          <w:rFonts w:ascii="Times New Roman" w:hAnsi="Times New Roman" w:cs="Times New Roman"/>
          <w:sz w:val="28"/>
          <w:szCs w:val="28"/>
        </w:rPr>
        <w:t xml:space="preserve"> Cá nhân là thành viên tổ chuyên gia, tổ thẩm định bị thu hồi chứng chỉ nghiệp vụ chuyên môn về đấu thầu trong trường hợp có hành vi vi phạm quy định tại khoản 9 Điều 125</w:t>
      </w:r>
      <w:r w:rsidRPr="00520A27">
        <w:rPr>
          <w:rFonts w:ascii="Times New Roman" w:hAnsi="Times New Roman" w:cs="Times New Roman"/>
        </w:rPr>
        <w:t xml:space="preserve"> </w:t>
      </w:r>
      <w:r w:rsidRPr="00520A27">
        <w:rPr>
          <w:rFonts w:ascii="Times New Roman" w:hAnsi="Times New Roman" w:cs="Times New Roman"/>
          <w:sz w:val="28"/>
          <w:szCs w:val="28"/>
        </w:rPr>
        <w:t>Nghị định số 24/2024/NĐ-CP ngày 27/02/2024 của Chính Phủ về quy định chi tiết một số điều và biện pháp thi hành Luật đấu thầu về lựa chọn nhà thầu, bao gồm các hành vi sau: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lastRenderedPageBreak/>
        <w:t>(1) Đưa, nhận, môi giới hối lộ.</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(2) Lợi dụng chức vụ, quyền hạn để gây ảnh hưởng, can thiệp trái pháp luật vào hoạt động đấu thầu dưới mọi hình thức.</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(3) Thông thầu bao gồm các hành vi sau đây:</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a) Dàn xếp, thỏa thuận, ép buộc để một hoặc các bên chuẩn bị hồ sơ dự thầu hoặc rút hồ sơ dự thầu để một bên trúng thầu;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b) Dàn xếp, thỏa thuận để từ chối cung cấp hàng hóa, dịch vụ, không ký hợp đồng thầu phụ hoặc thực hiện các hình thức thỏa thuận khác nhằm hạn chế cạnh tranh để một bên trúng thầu;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c) nhà thầu, nhà đầu tư có năng lực, kinh nghiệm đã tham dự thầu và đáp ứng yêu cầu của hồ sơ mời thầu nhưng cố ý không cung cấp tài liệu để chứng minh năng lực, kinh nghiệm khi được bên mời thầu yêu cầu làm rõ hồ sơ dự thầu hoặc khi được yêu cầu đối chiếu tài liệu nhằm tạo điều kiện để một bên trúng thầu.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(4) Gian lận bao gồm các hành vi sau đây:</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a) Làm giả hoặc làm sai lệch thông tin, hồ sơ, tài liệu trong đấu thầu;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b) Cố ý cung cấp thông tin, tài liệu không trung thực, không khách quan trong hồ sơ quan tâm, hồ sơ dự sơ tuyển, hồ sơ đăng ký thực hiện dự án đầu tư kinh doanh, hồ sơ dự thầu, hồ sơ đề xuất nhằm làm sai lệch kết quả lựa chọn nhà thầu, nhà đầu tư.</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(5) Cản trở bao gồm các hành vi sau đây:</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b) Cản trở người có thẩm quyền, chủ đầu tư, bên mời thầu, nhà thầu, nhà đầu tư trong lựa chọn nhà thầu, nhà đầu tư;</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c) Cản trở cơ quan có thẩm quyền giám sát, kiểm tra, thanh tra, kiểm toán đối với hoạt động đấu thầu;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d) Cố tình khiếu nại, tố cáo, kiến nghị sai sự thật để cản trở hoạt động đấu thầu;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đ) Có hành vi vi phạm pháp luật về an toàn, an ninh mạng nhằm can thiệp, cản trở việc đấu thầu qua mạng.</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(6) Không bảo đảm công bằng, minh bạch bao gồm các hành vi sau đây:</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lastRenderedPageBreak/>
        <w:t>a) Tham dự thầu với tư cách là nhà thầu, nhà đầu tư đối với gói thầu, dự án đầu tư kinh doanh do mình làm bên mời thầu, chủ đầu tư hoặc thực hiện nhiệm vụ của bên mời thầu, chủ đầu tư không đúng quy định của luật này;</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b) Tham gia lập, đồng thời tham gia thẩm định hồ sơ mời quan tâm, hồ sơ mời sơ tuyển, hồ sơ mời thầu, hồ sơ yêu cầu đối với cùng một gói thầu, dự án đầu tư kinh doanh;</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c) Tham gia đánh giá hồ sơ dự thầu, hồ sơ đề xuất đồng thời tham gia thẩm định kết quả lựa chọn nhà thầu, nhà đầu tư đối với cùng một gói thầu, dự án đầu tư kinh doanh;</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d) Cá nhân thuộc bên mời thầu, chủ đầu tư trực tiếp tham gia quá trình lựa chọn nhà thầu, nhà đầu tư hoặc tham gia tổ chuyên gia, tổ thẩm định kết quả lựa chọn nhà thầu, nhà đầu tư hoặc là người có thẩm quyền, người đứng đầu chủ đầu tư, bên mời thầu đối với các gói thầu, dự án đầu tư kinh doanh do người có quan hệ gia đình theo quy định của Luật Doanh nghiệp đứng tên dự thầu hoặc là người đại diện hợp pháp của nhà thầu, nhà đầu tư tham dự thầu;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đ) Nhà thầu tham dự thầu gói thầu mua sắm hàng hóa, xây lắp, phi tư vấn do nhà thầu đó cung cấp dịch vụ tư vấn: lập, thẩm tra, thẩm định dự toán, thiết kế kỹ thuật, thiết kế bản vẽ thi công, thiết kế kỹ thuật tổng thể (thiết kế FEED); lập, thẩm định hồ sơ mời sơ tuyển, hồ sơ mời thầu; đánh giá hồ sơ dự sơ tuyển, hồ sơ dự thầu; kiểm định hàng hóa; thẩm định kết quả lựa chọn nhà thầu; giám sát thực hiện hợp đồng;</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e) Đứng tên tham dự thầu gói thầu thuộc dự án, dự án đầu tư kinh doanh do chủ đầu tư, bên mời thầu là cơ quan, tổ chức nơi mình đã công tác và giữ chức vụ lãnh đạo, quản lý trong thời gian 12 tháng kể từ ngày không còn làm việc tại cơ quan, tổ chức đó;</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g) Nhà thầu tư vấn giám sát đồng thời thực hiện tư vấn kiểm định đối với gói thầu do nhà thầu đó giám sát;</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h) Áp dụng hình thức lựa chọn nhà thầu, nhà đầu tư không phải là hình thức đấu thầu rộng rãi khi không đủ điều kiện theo quy định của Luật này;</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i) Nêu yêu cầu cụ thể về nhãn hiệu, xuất xứ hàng hóa trong hồ sơ mời thầu đối với gói thầu mua sắm hàng hóa, xây lắp hoặc gói thầu hỗn hợp khi áp dụng hình thức đấu thầu rộng rãi, đấu thầu hạn chế, chào hàng cạnh tranh, trừ trường hợp quy định tại điểm e khoản 3 Điều 10, khoản 2 Điều 44 và khoản 1 Điều 56 của Luật Đấu thầu số 22/2023/QH15;</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k) Nêu điều kiện trong hồ sơ mời thầu nhằm hạn chế sự tham gia của nhà thầu, nhà đầu tư hoặc nhằm tạo lợi thế cho một hoặc một số nhà thầu, nhà đầu tư gây ra sự cạnh tranh không bình đẳng, vi phạm quy định tại khoản 3 Điều 44 và khoản 2 Điều 48 của Luật Đấu thầu số 22/2023/QH15;</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lastRenderedPageBreak/>
        <w:t>l) Chia nhỏ dự án, dự toán mua sắm thành các gói thầu nhằm mục đích chỉ định thầu; chia dự án, dự toán mua sắm nhằm hạn chế sự tham gia của các nhà thầu.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(7) Tiết lộ những tài liệu, thông tin về quá trình lựa chọn nhà thầu, nhà đầu tư, trừ trường hợp cung cấp thông tin theo quy định tại điểm b khoản 8 và điểm g khoản 9 Điều 77, khoản 11 Điều 78, điểm h khoản 1 Điều 79, khoản 4 Điều 80, khoản 4 Điều 81, khoản 2 Điều 82, điểm b khoản 4 Điều 93 của Luật Đấu thầu số 22/2023/QH15, bao gồm:</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a) Nội dung hồ sơ mời quan tâm, hồ sơ mời sơ tuyển, hồ sơ mời thầu, hồ sơ yêu cầu trước thời điểm phát hành theo quy định;</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b) Nội dung hồ sơ quan tâm, hồ sơ dự sơ tuyển, hồ sơ đăng ký thực hiện dự án đầu tư kinh doanh, hồ sơ dự thầu, hồ sơ đề xuất; nội dung yêu cầu làm rõ hồ sơ quan tâm, hồ sơ dự sơ tuyển, hồ sơ đăng ký thực hiện dự án đầu tư kinh doanh, hồ sơ dự thầu, hồ sơ đề xuất của bên mời thầu và trả lời của nhà thầu, nhà đầu tư trong quá trình đánh giá hồ sơ quan tâm, hồ sơ dự sơ tuyển, hồ sơ đăng ký thực hiện dự án đầu tư kinh doanh, hồ sơ dự thầu, hồ sơ đề xuất; báo cáo của bên mời thầu, báo cáo của tổ chuyên gia, báo cáo thẩm định, báo cáo của nhà thầu tư vấn, báo cáo của cơ quan chuyên môn có liên quan trong quá trình lựa chọn nhà thầu, nhà đầu tư; tài liệu ghi chép, biên bản cuộc họp xét thầu, các ý kiến nhận xét, đánh giá đối với từng hồ sơ quan tâm, hồ sơ dự sơ tuyển, hồ sơ đăng ký thực hiện dự án đầu tư kinh doanh, hồ sơ dự thầu, hồ sơ đề xuất trước khi được công khai theo quy định;</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c) Kết quả lựa chọn nhà thầu, nhà đầu tư trước khi được công khai theo quy định;</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d) Các tài liệu khác trong quá trình lựa chọn nhà thầu, nhà đầu tư được xác định chứa nội dung bí mật nhà nước theo quy định của pháp luật.</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(8) Chuyển nhượng thầu trong trường hợp sau đây:</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a) Nhà thầu chuyển nhượng cho nhà thầu khác phần công việc thuộc gói thầu ngoài giá trị tối đa dành cho nhà thầu phụ và khối lượng công việc dành cho nhà thầu phụ đặc biệt đã nêu trong hợp đồng;</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hồ sơ dự thầu, hồ sơ đề xuất mà không được chủ đầu tư, tư vấn giám sát chấp thuận;</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c) Chủ đầu tư, tư vấn giám sát chấp thuận để nhà thầu chuyển nhượng công việc quy định tại điểm a khoản này;</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d) Chủ đầu tư, tư vấn giám sát chấp thuận để nhà thầu chuyển nhượng công việc quy định tại điểm b khoản này mà vượt mức tối đa giá trị công việc dành cho nhà thầu phụ nêu trong hợp đồng.</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lastRenderedPageBreak/>
        <w:t>(9) Tổ chức lựa chọn nhà thầu khi chưa xác định được nguồn vốn theo quy định tại khoản 3 Điều 39 của Luật Đấu thầu số 22/2023/QH15.</w:t>
      </w:r>
    </w:p>
    <w:p w:rsidR="00217F2B" w:rsidRPr="00520A27" w:rsidRDefault="00217F2B" w:rsidP="00217F2B">
      <w:pPr>
        <w:spacing w:before="120" w:after="120" w:line="240" w:lineRule="auto"/>
        <w:ind w:firstLine="720"/>
        <w:jc w:val="both"/>
        <w:rPr>
          <w:rFonts w:ascii="Times New Roman" w:hAnsi="Times New Roman" w:cs="Times New Roman"/>
          <w:b/>
          <w:bCs/>
          <w:sz w:val="28"/>
          <w:szCs w:val="28"/>
        </w:rPr>
      </w:pPr>
      <w:r w:rsidRPr="00520A27">
        <w:rPr>
          <w:rFonts w:ascii="Times New Roman" w:hAnsi="Times New Roman" w:cs="Times New Roman"/>
          <w:b/>
          <w:bCs/>
          <w:sz w:val="28"/>
          <w:szCs w:val="28"/>
        </w:rPr>
        <w:t>12. Căn cứ pháp lý của thủ tục hành chính:</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Luật Đấu thầu số 22/2023/QH15 ngày 23 tháng 6 năm 2023 (Luật Đấu thầu số 22/2023/QH15).</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Nghị định số 24/2024/NĐ-CP ngày 27/02/2024 của Chính Phủ về quy định chi tiết một số điều và biện pháp thi hành Luật đấu thầu về lựa chọn nhà thầu.</w:t>
      </w:r>
    </w:p>
    <w:p w:rsidR="00217F2B" w:rsidRPr="00520A27" w:rsidRDefault="00217F2B" w:rsidP="00217F2B">
      <w:pPr>
        <w:spacing w:before="120" w:after="120" w:line="240" w:lineRule="auto"/>
        <w:ind w:firstLine="720"/>
        <w:jc w:val="both"/>
        <w:rPr>
          <w:rFonts w:ascii="Times New Roman" w:hAnsi="Times New Roman" w:cs="Times New Roman"/>
          <w:sz w:val="28"/>
          <w:szCs w:val="28"/>
        </w:rPr>
      </w:pPr>
      <w:r w:rsidRPr="00520A27">
        <w:rPr>
          <w:rFonts w:ascii="Times New Roman" w:hAnsi="Times New Roman" w:cs="Times New Roman"/>
          <w:sz w:val="28"/>
          <w:szCs w:val="28"/>
        </w:rPr>
        <w:t>- Thông tư số 02/2024/TT-BKHĐT ngày 06 tháng 3 năm 2024 của Bộ trưởng Bộ Kế hoạch và Đầu tư về quy định hoạt động đào tạo, bồi dưỡng kiến thức và thi, cấp, thu hồi chứng chỉ nghiệp vụ chuyên môn về đấu thầu.</w:t>
      </w:r>
    </w:p>
    <w:p w:rsidR="00217F2B" w:rsidRPr="00520A27" w:rsidRDefault="00217F2B" w:rsidP="00217F2B">
      <w:pPr>
        <w:rPr>
          <w:rFonts w:ascii="Times New Roman" w:hAnsi="Times New Roman" w:cs="Times New Roman"/>
          <w:sz w:val="28"/>
          <w:szCs w:val="28"/>
        </w:rPr>
      </w:pPr>
    </w:p>
    <w:p w:rsidR="00D34CBB" w:rsidRDefault="00D34CBB"/>
    <w:sectPr w:rsidR="00D34CBB" w:rsidSect="00217F2B">
      <w:headerReference w:type="default" r:id="rId5"/>
      <w:pgSz w:w="12240" w:h="15840"/>
      <w:pgMar w:top="540" w:right="1440" w:bottom="116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382943"/>
      <w:docPartObj>
        <w:docPartGallery w:val="Page Numbers (Top of Page)"/>
        <w:docPartUnique/>
      </w:docPartObj>
    </w:sdtPr>
    <w:sdtEndPr>
      <w:rPr>
        <w:noProof/>
      </w:rPr>
    </w:sdtEndPr>
    <w:sdtContent>
      <w:p w:rsidR="00EB7E57" w:rsidRDefault="00217F2B">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EB7E57" w:rsidRDefault="00217F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65E14"/>
    <w:multiLevelType w:val="hybridMultilevel"/>
    <w:tmpl w:val="04BC0A0E"/>
    <w:lvl w:ilvl="0" w:tplc="B9C662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5A0575"/>
    <w:multiLevelType w:val="hybridMultilevel"/>
    <w:tmpl w:val="7AC68B7A"/>
    <w:lvl w:ilvl="0" w:tplc="1BB66BA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28C"/>
    <w:rsid w:val="00217F2B"/>
    <w:rsid w:val="003E728C"/>
    <w:rsid w:val="00D3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5DDB"/>
  <w15:chartTrackingRefBased/>
  <w15:docId w15:val="{06EC7A11-A381-4031-9657-6843D73C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F2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F2B"/>
    <w:pPr>
      <w:ind w:left="720"/>
      <w:contextualSpacing/>
    </w:pPr>
  </w:style>
  <w:style w:type="paragraph" w:styleId="Header">
    <w:name w:val="header"/>
    <w:basedOn w:val="Normal"/>
    <w:link w:val="HeaderChar"/>
    <w:uiPriority w:val="99"/>
    <w:unhideWhenUsed/>
    <w:rsid w:val="00217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F2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QY5UZ4ZQWDMN-1850682920-703</_dlc_DocId>
    <_dlc_DocIdUrl xmlns="df6cab6d-25a5-4a45-89de-f19c5af208b6">
      <Url>https://skhdt.dongnai.gov.vn/_layouts/15/DocIdRedir.aspx?ID=QY5UZ4ZQWDMN-1850682920-703</Url>
      <Description>QY5UZ4ZQWDMN-1850682920-703</Description>
    </_dlc_DocIdUrl>
  </documentManagement>
</p:properties>
</file>

<file path=customXml/itemProps1.xml><?xml version="1.0" encoding="utf-8"?>
<ds:datastoreItem xmlns:ds="http://schemas.openxmlformats.org/officeDocument/2006/customXml" ds:itemID="{1F21F16C-ABC9-4F1B-9908-F2BD43169DBA}"/>
</file>

<file path=customXml/itemProps2.xml><?xml version="1.0" encoding="utf-8"?>
<ds:datastoreItem xmlns:ds="http://schemas.openxmlformats.org/officeDocument/2006/customXml" ds:itemID="{352D7A92-72BA-452D-B6AD-C9F2C70222DE}"/>
</file>

<file path=customXml/itemProps3.xml><?xml version="1.0" encoding="utf-8"?>
<ds:datastoreItem xmlns:ds="http://schemas.openxmlformats.org/officeDocument/2006/customXml" ds:itemID="{E1CD7B13-A435-4A1E-B36C-E001CAB58D56}"/>
</file>

<file path=customXml/itemProps4.xml><?xml version="1.0" encoding="utf-8"?>
<ds:datastoreItem xmlns:ds="http://schemas.openxmlformats.org/officeDocument/2006/customXml" ds:itemID="{80DBF2DA-BFB2-4F32-80B7-72E0569BDFA4}"/>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2024-09-18T07:39:00Z</dcterms:created>
  <dcterms:modified xsi:type="dcterms:W3CDTF">2024-09-18T07:40:00Z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3266c7a2-64c1-4c4b-b491-7af595115055</vt:lpwstr>
  </property>
</Properties>
</file>